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tillium Web" w:cs="Titillium Web" w:eastAsia="Titillium Web" w:hAnsi="Titillium Web"/>
          <w:b w:val="1"/>
          <w:sz w:val="20"/>
          <w:szCs w:val="20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sz w:val="20"/>
          <w:szCs w:val="20"/>
          <w:rtl w:val="0"/>
        </w:rPr>
        <w:t xml:space="preserve">DECLARAÇÃO DE COMPLIANCE E SANÇÕES</w:t>
      </w:r>
    </w:p>
    <w:p w:rsidR="00000000" w:rsidDel="00000000" w:rsidP="00000000" w:rsidRDefault="00000000" w:rsidRPr="00000000" w14:paraId="00000002">
      <w:pPr>
        <w:jc w:val="both"/>
        <w:rPr>
          <w:rFonts w:ascii="Titillium Web" w:cs="Titillium Web" w:eastAsia="Titillium Web" w:hAnsi="Titillium We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tillium Web" w:cs="Titillium Web" w:eastAsia="Titillium Web" w:hAnsi="Titillium Web"/>
          <w:sz w:val="20"/>
          <w:szCs w:val="20"/>
        </w:rPr>
      </w:pPr>
      <w:r w:rsidDel="00000000" w:rsidR="00000000" w:rsidRPr="00000000">
        <w:rPr>
          <w:rFonts w:ascii="Titillium Web" w:cs="Titillium Web" w:eastAsia="Titillium Web" w:hAnsi="Titillium Web"/>
          <w:sz w:val="20"/>
          <w:szCs w:val="20"/>
          <w:rtl w:val="0"/>
        </w:rPr>
        <w:t xml:space="preserve">Esta declaração é um componente essencial do processo de Conheça Sua Empresa (KYB) e de Devida Diligência da Empresa (DDE) exigido pelo Programa Global de PLD/FT e Compliance de Sanções da Yuno. A Yuno fornece uma plataforma de tecnologia de Software como Serviço (SaaS) e não retém, custodia ou controla fundos de clientes ou usuários finais. O Programa da Yuno é projetado para prevenir o uso indevido de seus serviços de tecnologia, baseado em uma sólida Gestão de Riscos da Empresa e em um Compliance de Sanções universal e indelegável.</w:t>
      </w:r>
    </w:p>
    <w:p w:rsidR="00000000" w:rsidDel="00000000" w:rsidP="00000000" w:rsidRDefault="00000000" w:rsidRPr="00000000" w14:paraId="00000004">
      <w:pPr>
        <w:jc w:val="both"/>
        <w:rPr>
          <w:rFonts w:ascii="Titillium Web" w:cs="Titillium Web" w:eastAsia="Titillium Web" w:hAnsi="Titillium We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tillium Web" w:cs="Titillium Web" w:eastAsia="Titillium Web" w:hAnsi="Titillium Web"/>
          <w:b w:val="1"/>
          <w:sz w:val="20"/>
          <w:szCs w:val="20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sz w:val="20"/>
          <w:szCs w:val="20"/>
          <w:rtl w:val="0"/>
        </w:rPr>
        <w:t xml:space="preserve">Declaração</w:t>
      </w:r>
    </w:p>
    <w:p w:rsidR="00000000" w:rsidDel="00000000" w:rsidP="00000000" w:rsidRDefault="00000000" w:rsidRPr="00000000" w14:paraId="00000006">
      <w:pPr>
        <w:jc w:val="both"/>
        <w:rPr>
          <w:rFonts w:ascii="Titillium Web" w:cs="Titillium Web" w:eastAsia="Titillium Web" w:hAnsi="Titillium We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tillium Web" w:cs="Titillium Web" w:eastAsia="Titillium Web" w:hAnsi="Titillium Web"/>
          <w:sz w:val="20"/>
          <w:szCs w:val="20"/>
        </w:rPr>
      </w:pPr>
      <w:r w:rsidDel="00000000" w:rsidR="00000000" w:rsidRPr="00000000">
        <w:rPr>
          <w:rFonts w:ascii="Titillium Web" w:cs="Titillium Web" w:eastAsia="Titillium Web" w:hAnsi="Titillium Web"/>
          <w:sz w:val="20"/>
          <w:szCs w:val="20"/>
          <w:rtl w:val="0"/>
        </w:rPr>
        <w:t xml:space="preserve">Eu, Representante Legal da empresa anteriormente identificada, por meio desta, Certifico:</w:t>
      </w:r>
    </w:p>
    <w:p w:rsidR="00000000" w:rsidDel="00000000" w:rsidP="00000000" w:rsidRDefault="00000000" w:rsidRPr="00000000" w14:paraId="00000008">
      <w:pPr>
        <w:ind w:left="0" w:firstLine="0"/>
        <w:jc w:val="both"/>
        <w:rPr>
          <w:rFonts w:ascii="Titillium Web" w:cs="Titillium Web" w:eastAsia="Titillium Web" w:hAnsi="Titillium We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jc w:val="both"/>
        <w:rPr>
          <w:rFonts w:ascii="Titillium Web" w:cs="Titillium Web" w:eastAsia="Titillium Web" w:hAnsi="Titillium Web"/>
          <w:sz w:val="20"/>
          <w:szCs w:val="20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sz w:val="20"/>
          <w:szCs w:val="20"/>
          <w:rtl w:val="0"/>
        </w:rPr>
        <w:t xml:space="preserve">Operações Comerciais Lícitas:</w:t>
      </w:r>
      <w:r w:rsidDel="00000000" w:rsidR="00000000" w:rsidRPr="00000000">
        <w:rPr>
          <w:rFonts w:ascii="Titillium Web" w:cs="Titillium Web" w:eastAsia="Titillium Web" w:hAnsi="Titillium Web"/>
          <w:sz w:val="20"/>
          <w:szCs w:val="20"/>
          <w:rtl w:val="0"/>
        </w:rPr>
        <w:t xml:space="preserve"> A Empresa é uma entidade legalmente constituída e em situação regular. Todas as suas atividades comerciais são lícitas em suas jurisdições de operação e todos os seus fundos corporativos provêm de fontes legítimas.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jc w:val="both"/>
        <w:rPr>
          <w:rFonts w:ascii="Titillium Web" w:cs="Titillium Web" w:eastAsia="Titillium Web" w:hAnsi="Titillium Web"/>
          <w:sz w:val="20"/>
          <w:szCs w:val="20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sz w:val="20"/>
          <w:szCs w:val="20"/>
          <w:rtl w:val="0"/>
        </w:rPr>
        <w:t xml:space="preserve">Compliance de PLD/FT da Empresa:</w:t>
      </w:r>
      <w:r w:rsidDel="00000000" w:rsidR="00000000" w:rsidRPr="00000000">
        <w:rPr>
          <w:rFonts w:ascii="Titillium Web" w:cs="Titillium Web" w:eastAsia="Titillium Web" w:hAnsi="Titillium Web"/>
          <w:sz w:val="20"/>
          <w:szCs w:val="20"/>
          <w:rtl w:val="0"/>
        </w:rPr>
        <w:t xml:space="preserve"> A Empresa mantém seu próprio programa de compliance de Prevenção à Lavagem de Dinheiro (PLD) e ao Financiamento do Terrorismo (FT) baseado em riscos, proporcional ao seu risco e requisitos regulatórios, projetado para prevenir atividades ilícitas.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jc w:val="both"/>
        <w:rPr>
          <w:rFonts w:ascii="Titillium Web" w:cs="Titillium Web" w:eastAsia="Titillium Web" w:hAnsi="Titillium Web"/>
          <w:sz w:val="20"/>
          <w:szCs w:val="20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sz w:val="20"/>
          <w:szCs w:val="20"/>
          <w:rtl w:val="0"/>
        </w:rPr>
        <w:t xml:space="preserve">Compliance de Sanções Globais:</w:t>
      </w:r>
      <w:r w:rsidDel="00000000" w:rsidR="00000000" w:rsidRPr="00000000">
        <w:rPr>
          <w:rFonts w:ascii="Titillium Web" w:cs="Titillium Web" w:eastAsia="Titillium Web" w:hAnsi="Titillium Web"/>
          <w:sz w:val="20"/>
          <w:szCs w:val="20"/>
          <w:rtl w:val="0"/>
        </w:rPr>
        <w:t xml:space="preserve"> A Empresa, suas empresas controladoras (matrizes), subsidiárias, Beneficiários Finais (UBOs), diretores e executivos não estão: (i) designados em nenhuma lista de sanções obrigatórias (incluindo OFAC, ONU, UE, UK HMT, coletivamente "Listas de Sanções"); ou (ii) não são de propriedade (em 50% ou mais) ou controlados por qualquer pessoa designada.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jc w:val="both"/>
        <w:rPr>
          <w:rFonts w:ascii="Titillium Web" w:cs="Titillium Web" w:eastAsia="Titillium Web" w:hAnsi="Titillium Web"/>
          <w:sz w:val="20"/>
          <w:szCs w:val="20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sz w:val="20"/>
          <w:szCs w:val="20"/>
          <w:rtl w:val="0"/>
        </w:rPr>
        <w:t xml:space="preserve">Não Envolvimento em Atividades Ilícitas:</w:t>
      </w:r>
      <w:r w:rsidDel="00000000" w:rsidR="00000000" w:rsidRPr="00000000">
        <w:rPr>
          <w:rFonts w:ascii="Titillium Web" w:cs="Titillium Web" w:eastAsia="Titillium Web" w:hAnsi="Titillium Web"/>
          <w:sz w:val="20"/>
          <w:szCs w:val="20"/>
          <w:rtl w:val="0"/>
        </w:rPr>
        <w:t xml:space="preserve"> Nem a Empresa, nem seus UBOs ou pessoas-chave de controle foram investigados, acusados ou condenados por qualquer crime grave ou outro delito relacionado a crimes financeiros, incluindo lavagem de dinheiro, financiamento do terrorismo, fraude ou corrupção.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jc w:val="both"/>
        <w:rPr>
          <w:rFonts w:ascii="Titillium Web" w:cs="Titillium Web" w:eastAsia="Titillium Web" w:hAnsi="Titillium Web"/>
          <w:sz w:val="20"/>
          <w:szCs w:val="20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sz w:val="20"/>
          <w:szCs w:val="20"/>
          <w:rtl w:val="0"/>
        </w:rPr>
        <w:t xml:space="preserve">Compromisso com a Transparência:</w:t>
      </w:r>
      <w:r w:rsidDel="00000000" w:rsidR="00000000" w:rsidRPr="00000000">
        <w:rPr>
          <w:rFonts w:ascii="Titillium Web" w:cs="Titillium Web" w:eastAsia="Titillium Web" w:hAnsi="Titillium Web"/>
          <w:sz w:val="20"/>
          <w:szCs w:val="20"/>
          <w:rtl w:val="0"/>
        </w:rPr>
        <w:t xml:space="preserve"> A Empresa concorda em cooperar plenamente com o departamento de Compliance da Yuno e fornecer qualquer documentação necessária para o KYB ou para a devida diligência contínua, incluindo informações sobre UBOs ou procedimentos internos de compliance.</w:t>
      </w:r>
    </w:p>
    <w:p w:rsidR="00000000" w:rsidDel="00000000" w:rsidP="00000000" w:rsidRDefault="00000000" w:rsidRPr="00000000" w14:paraId="0000000E">
      <w:pPr>
        <w:ind w:left="0" w:firstLine="0"/>
        <w:jc w:val="both"/>
        <w:rPr>
          <w:rFonts w:ascii="Titillium Web" w:cs="Titillium Web" w:eastAsia="Titillium Web" w:hAnsi="Titillium We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20" w:firstLine="0"/>
        <w:jc w:val="both"/>
        <w:rPr>
          <w:rFonts w:ascii="Titillium Web" w:cs="Titillium Web" w:eastAsia="Titillium Web" w:hAnsi="Titillium We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Titillium Web" w:cs="Titillium Web" w:eastAsia="Titillium Web" w:hAnsi="Titillium Web"/>
          <w:b w:val="1"/>
          <w:sz w:val="20"/>
          <w:szCs w:val="20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sz w:val="20"/>
          <w:szCs w:val="20"/>
          <w:rtl w:val="0"/>
        </w:rPr>
        <w:t xml:space="preserve">Canais Autorizados</w:t>
      </w:r>
    </w:p>
    <w:p w:rsidR="00000000" w:rsidDel="00000000" w:rsidP="00000000" w:rsidRDefault="00000000" w:rsidRPr="00000000" w14:paraId="00000011">
      <w:pPr>
        <w:jc w:val="both"/>
        <w:rPr>
          <w:rFonts w:ascii="Titillium Web" w:cs="Titillium Web" w:eastAsia="Titillium Web" w:hAnsi="Titillium We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tillium Web" w:cs="Titillium Web" w:eastAsia="Titillium Web" w:hAnsi="Titillium Web"/>
          <w:sz w:val="20"/>
          <w:szCs w:val="20"/>
        </w:rPr>
      </w:pPr>
      <w:r w:rsidDel="00000000" w:rsidR="00000000" w:rsidRPr="00000000">
        <w:rPr>
          <w:rFonts w:ascii="Titillium Web" w:cs="Titillium Web" w:eastAsia="Titillium Web" w:hAnsi="Titillium Web"/>
          <w:sz w:val="20"/>
          <w:szCs w:val="20"/>
          <w:rtl w:val="0"/>
        </w:rPr>
        <w:t xml:space="preserve">Os seguintes canais de comunicação estão autorizados para assuntos relacionados a Compliance:</w:t>
      </w:r>
    </w:p>
    <w:tbl>
      <w:tblPr>
        <w:tblStyle w:val="Table1"/>
        <w:tblW w:w="9315.0" w:type="dxa"/>
        <w:jc w:val="left"/>
        <w:tblLayout w:type="fixed"/>
        <w:tblLook w:val="0600"/>
      </w:tblPr>
      <w:tblGrid>
        <w:gridCol w:w="4650"/>
        <w:gridCol w:w="4665"/>
        <w:tblGridChange w:id="0">
          <w:tblGrid>
            <w:gridCol w:w="4650"/>
            <w:gridCol w:w="4665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00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jc w:val="both"/>
              <w:rPr>
                <w:rFonts w:ascii="Titillium Web" w:cs="Titillium Web" w:eastAsia="Titillium Web" w:hAnsi="Titillium Web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color w:val="ffffff"/>
                <w:sz w:val="20"/>
                <w:szCs w:val="20"/>
                <w:rtl w:val="0"/>
              </w:rPr>
              <w:t xml:space="preserve">Para a Empresa: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00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jc w:val="both"/>
              <w:rPr>
                <w:rFonts w:ascii="Titillium Web" w:cs="Titillium Web" w:eastAsia="Titillium Web" w:hAnsi="Titillium Web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b w:val="1"/>
                <w:color w:val="ffffff"/>
                <w:sz w:val="20"/>
                <w:szCs w:val="20"/>
                <w:rtl w:val="0"/>
              </w:rPr>
              <w:t xml:space="preserve">Para Yuno: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jc w:val="both"/>
              <w:rPr>
                <w:rFonts w:ascii="Titillium Web" w:cs="Titillium Web" w:eastAsia="Titillium Web" w:hAnsi="Titillium Web"/>
                <w:sz w:val="20"/>
                <w:szCs w:val="20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sz w:val="20"/>
                <w:szCs w:val="20"/>
                <w:rtl w:val="0"/>
              </w:rPr>
              <w:t xml:space="preserve">Nome: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jc w:val="both"/>
              <w:rPr>
                <w:rFonts w:ascii="Titillium Web" w:cs="Titillium Web" w:eastAsia="Titillium Web" w:hAnsi="Titillium Web"/>
                <w:sz w:val="20"/>
                <w:szCs w:val="20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sz w:val="20"/>
                <w:szCs w:val="20"/>
                <w:rtl w:val="0"/>
              </w:rPr>
              <w:t xml:space="preserve">Nome: Yuno Compliance 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jc w:val="both"/>
              <w:rPr>
                <w:rFonts w:ascii="Titillium Web" w:cs="Titillium Web" w:eastAsia="Titillium Web" w:hAnsi="Titillium Web"/>
                <w:sz w:val="20"/>
                <w:szCs w:val="20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sz w:val="20"/>
                <w:szCs w:val="20"/>
                <w:rtl w:val="0"/>
              </w:rPr>
              <w:t xml:space="preserve">Posição: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jc w:val="both"/>
              <w:rPr>
                <w:rFonts w:ascii="Titillium Web" w:cs="Titillium Web" w:eastAsia="Titillium Web" w:hAnsi="Titillium Web"/>
                <w:sz w:val="20"/>
                <w:szCs w:val="20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sz w:val="20"/>
                <w:szCs w:val="20"/>
                <w:rtl w:val="0"/>
              </w:rPr>
              <w:t xml:space="preserve">Posição: Oficial de Compliance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jc w:val="both"/>
              <w:rPr>
                <w:rFonts w:ascii="Titillium Web" w:cs="Titillium Web" w:eastAsia="Titillium Web" w:hAnsi="Titillium Web"/>
                <w:sz w:val="20"/>
                <w:szCs w:val="20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sz w:val="20"/>
                <w:szCs w:val="20"/>
                <w:rtl w:val="0"/>
              </w:rPr>
              <w:t xml:space="preserve">E-mail: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jc w:val="both"/>
              <w:rPr>
                <w:rFonts w:ascii="Titillium Web" w:cs="Titillium Web" w:eastAsia="Titillium Web" w:hAnsi="Titillium Web"/>
                <w:sz w:val="20"/>
                <w:szCs w:val="20"/>
              </w:rPr>
            </w:pPr>
            <w:r w:rsidDel="00000000" w:rsidR="00000000" w:rsidRPr="00000000">
              <w:rPr>
                <w:rFonts w:ascii="Titillium Web" w:cs="Titillium Web" w:eastAsia="Titillium Web" w:hAnsi="Titillium Web"/>
                <w:sz w:val="20"/>
                <w:szCs w:val="20"/>
                <w:rtl w:val="0"/>
              </w:rPr>
              <w:t xml:space="preserve">E-mail: </w:t>
            </w:r>
            <w:hyperlink r:id="rId6">
              <w:r w:rsidDel="00000000" w:rsidR="00000000" w:rsidRPr="00000000">
                <w:rPr>
                  <w:rFonts w:ascii="Titillium Web" w:cs="Titillium Web" w:eastAsia="Titillium Web" w:hAnsi="Titillium Web"/>
                  <w:color w:val="1155cc"/>
                  <w:sz w:val="20"/>
                  <w:szCs w:val="20"/>
                  <w:u w:val="single"/>
                  <w:rtl w:val="0"/>
                </w:rPr>
                <w:t xml:space="preserve">compliance@y.uno</w:t>
              </w:r>
            </w:hyperlink>
            <w:r w:rsidDel="00000000" w:rsidR="00000000" w:rsidRPr="00000000">
              <w:rPr>
                <w:rFonts w:ascii="Titillium Web" w:cs="Titillium Web" w:eastAsia="Titillium Web" w:hAnsi="Titillium Web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B">
      <w:pPr>
        <w:jc w:val="both"/>
        <w:rPr>
          <w:rFonts w:ascii="Titillium Web" w:cs="Titillium Web" w:eastAsia="Titillium Web" w:hAnsi="Titillium We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Titillium Web" w:cs="Titillium Web" w:eastAsia="Titillium Web" w:hAnsi="Titillium Web"/>
          <w:b w:val="1"/>
          <w:sz w:val="20"/>
          <w:szCs w:val="20"/>
        </w:rPr>
      </w:pPr>
      <w:r w:rsidDel="00000000" w:rsidR="00000000" w:rsidRPr="00000000">
        <w:rPr>
          <w:rFonts w:ascii="Titillium Web" w:cs="Titillium Web" w:eastAsia="Titillium Web" w:hAnsi="Titillium Web"/>
          <w:b w:val="1"/>
          <w:sz w:val="20"/>
          <w:szCs w:val="20"/>
          <w:rtl w:val="0"/>
        </w:rPr>
        <w:t xml:space="preserve">Autorização</w:t>
      </w:r>
    </w:p>
    <w:p w:rsidR="00000000" w:rsidDel="00000000" w:rsidP="00000000" w:rsidRDefault="00000000" w:rsidRPr="00000000" w14:paraId="0000001D">
      <w:pPr>
        <w:jc w:val="both"/>
        <w:rPr>
          <w:rFonts w:ascii="Titillium Web" w:cs="Titillium Web" w:eastAsia="Titillium Web" w:hAnsi="Titillium Web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Titillium Web" w:cs="Titillium Web" w:eastAsia="Titillium Web" w:hAnsi="Titillium Web"/>
          <w:sz w:val="20"/>
          <w:szCs w:val="20"/>
        </w:rPr>
      </w:pPr>
      <w:r w:rsidDel="00000000" w:rsidR="00000000" w:rsidRPr="00000000">
        <w:rPr>
          <w:rFonts w:ascii="Titillium Web" w:cs="Titillium Web" w:eastAsia="Titillium Web" w:hAnsi="Titillium Web"/>
          <w:sz w:val="20"/>
          <w:szCs w:val="20"/>
          <w:rtl w:val="0"/>
        </w:rPr>
        <w:t xml:space="preserve">Ao assinar abaixo, afirmo que todas as informações fornecidas nesta declaração são precisas, completas e atuais. Entendo que qualquer declaração falsa, omissão ou falha em cooperar com as solicitações de KYB da Yuno pode resultar na rejeição imediata ou rescisão da relação comercial.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Titillium Web" w:cs="Titillium Web" w:eastAsia="Titillium Web" w:hAnsi="Titillium We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Titillium Web" w:cs="Titillium Web" w:eastAsia="Titillium Web" w:hAnsi="Titillium We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Titillium Web" w:cs="Titillium Web" w:eastAsia="Titillium Web" w:hAnsi="Titillium Web"/>
          <w:sz w:val="20"/>
          <w:szCs w:val="20"/>
        </w:rPr>
      </w:pPr>
      <w:r w:rsidDel="00000000" w:rsidR="00000000" w:rsidRPr="00000000">
        <w:rPr>
          <w:rFonts w:ascii="Titillium Web" w:cs="Titillium Web" w:eastAsia="Titillium Web" w:hAnsi="Titillium Web"/>
          <w:sz w:val="20"/>
          <w:szCs w:val="20"/>
          <w:rtl w:val="0"/>
        </w:rPr>
        <w:t xml:space="preserve">___________________________</w:t>
      </w:r>
    </w:p>
    <w:p w:rsidR="00000000" w:rsidDel="00000000" w:rsidP="00000000" w:rsidRDefault="00000000" w:rsidRPr="00000000" w14:paraId="00000022">
      <w:pPr>
        <w:jc w:val="both"/>
        <w:rPr>
          <w:rFonts w:ascii="Titillium Web" w:cs="Titillium Web" w:eastAsia="Titillium Web" w:hAnsi="Titillium Web"/>
          <w:sz w:val="20"/>
          <w:szCs w:val="20"/>
        </w:rPr>
      </w:pPr>
      <w:r w:rsidDel="00000000" w:rsidR="00000000" w:rsidRPr="00000000">
        <w:rPr>
          <w:rFonts w:ascii="Titillium Web" w:cs="Titillium Web" w:eastAsia="Titillium Web" w:hAnsi="Titillium Web"/>
          <w:sz w:val="20"/>
          <w:szCs w:val="20"/>
          <w:rtl w:val="0"/>
        </w:rPr>
        <w:t xml:space="preserve">Nome completo:</w:t>
      </w:r>
    </w:p>
    <w:p w:rsidR="00000000" w:rsidDel="00000000" w:rsidP="00000000" w:rsidRDefault="00000000" w:rsidRPr="00000000" w14:paraId="00000023">
      <w:pPr>
        <w:jc w:val="both"/>
        <w:rPr>
          <w:rFonts w:ascii="Titillium Web" w:cs="Titillium Web" w:eastAsia="Titillium Web" w:hAnsi="Titillium Web"/>
          <w:sz w:val="20"/>
          <w:szCs w:val="20"/>
        </w:rPr>
      </w:pPr>
      <w:r w:rsidDel="00000000" w:rsidR="00000000" w:rsidRPr="00000000">
        <w:rPr>
          <w:rFonts w:ascii="Titillium Web" w:cs="Titillium Web" w:eastAsia="Titillium Web" w:hAnsi="Titillium Web"/>
          <w:sz w:val="20"/>
          <w:szCs w:val="20"/>
          <w:rtl w:val="0"/>
        </w:rPr>
        <w:t xml:space="preserve">Posição:</w:t>
      </w:r>
    </w:p>
    <w:p w:rsidR="00000000" w:rsidDel="00000000" w:rsidP="00000000" w:rsidRDefault="00000000" w:rsidRPr="00000000" w14:paraId="00000024">
      <w:pPr>
        <w:jc w:val="both"/>
        <w:rPr>
          <w:rFonts w:ascii="Titillium Web" w:cs="Titillium Web" w:eastAsia="Titillium Web" w:hAnsi="Titillium Web"/>
          <w:sz w:val="20"/>
          <w:szCs w:val="20"/>
        </w:rPr>
      </w:pPr>
      <w:r w:rsidDel="00000000" w:rsidR="00000000" w:rsidRPr="00000000">
        <w:rPr>
          <w:rFonts w:ascii="Titillium Web" w:cs="Titillium Web" w:eastAsia="Titillium Web" w:hAnsi="Titillium Web"/>
          <w:sz w:val="20"/>
          <w:szCs w:val="20"/>
          <w:rtl w:val="0"/>
        </w:rPr>
        <w:t xml:space="preserve">Data:</w:t>
      </w:r>
    </w:p>
    <w:p w:rsidR="00000000" w:rsidDel="00000000" w:rsidP="00000000" w:rsidRDefault="00000000" w:rsidRPr="00000000" w14:paraId="00000025">
      <w:pPr>
        <w:jc w:val="both"/>
        <w:rPr>
          <w:rFonts w:ascii="Titillium Web" w:cs="Titillium Web" w:eastAsia="Titillium Web" w:hAnsi="Titillium Web"/>
          <w:sz w:val="20"/>
          <w:szCs w:val="20"/>
        </w:rPr>
      </w:pPr>
      <w:r w:rsidDel="00000000" w:rsidR="00000000" w:rsidRPr="00000000">
        <w:rPr>
          <w:rFonts w:ascii="Titillium Web" w:cs="Titillium Web" w:eastAsia="Titillium Web" w:hAnsi="Titillium Web"/>
          <w:sz w:val="20"/>
          <w:szCs w:val="20"/>
          <w:rtl w:val="0"/>
        </w:rPr>
        <w:t xml:space="preserve">Nome comercial da empresa:</w:t>
      </w:r>
    </w:p>
    <w:p w:rsidR="00000000" w:rsidDel="00000000" w:rsidP="00000000" w:rsidRDefault="00000000" w:rsidRPr="00000000" w14:paraId="00000026">
      <w:pPr>
        <w:jc w:val="both"/>
        <w:rPr>
          <w:rFonts w:ascii="Titillium Web" w:cs="Titillium Web" w:eastAsia="Titillium Web" w:hAnsi="Titillium Web"/>
          <w:sz w:val="20"/>
          <w:szCs w:val="20"/>
        </w:rPr>
      </w:pPr>
      <w:r w:rsidDel="00000000" w:rsidR="00000000" w:rsidRPr="00000000">
        <w:rPr>
          <w:rFonts w:ascii="Titillium Web" w:cs="Titillium Web" w:eastAsia="Titillium Web" w:hAnsi="Titillium Web"/>
          <w:sz w:val="20"/>
          <w:szCs w:val="20"/>
          <w:rtl w:val="0"/>
        </w:rPr>
        <w:t xml:space="preserve">Número de identificação fiscal/número de registro:</w:t>
      </w:r>
    </w:p>
    <w:p w:rsidR="00000000" w:rsidDel="00000000" w:rsidP="00000000" w:rsidRDefault="00000000" w:rsidRPr="00000000" w14:paraId="00000027">
      <w:pPr>
        <w:jc w:val="both"/>
        <w:rPr>
          <w:rFonts w:ascii="Titillium Web" w:cs="Titillium Web" w:eastAsia="Titillium Web" w:hAnsi="Titillium Web"/>
          <w:sz w:val="20"/>
          <w:szCs w:val="20"/>
        </w:rPr>
      </w:pPr>
      <w:r w:rsidDel="00000000" w:rsidR="00000000" w:rsidRPr="00000000">
        <w:rPr>
          <w:rFonts w:ascii="Titillium Web" w:cs="Titillium Web" w:eastAsia="Titillium Web" w:hAnsi="Titillium Web"/>
          <w:sz w:val="20"/>
          <w:szCs w:val="20"/>
          <w:rtl w:val="0"/>
        </w:rPr>
        <w:t xml:space="preserve">País de constituição:</w:t>
      </w:r>
    </w:p>
    <w:p w:rsidR="00000000" w:rsidDel="00000000" w:rsidP="00000000" w:rsidRDefault="00000000" w:rsidRPr="00000000" w14:paraId="00000028">
      <w:pPr>
        <w:jc w:val="both"/>
        <w:rPr>
          <w:rFonts w:ascii="Titillium Web" w:cs="Titillium Web" w:eastAsia="Titillium Web" w:hAnsi="Titillium Web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tillium Web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4267200</wp:posOffset>
          </wp:positionH>
          <wp:positionV relativeFrom="paragraph">
            <wp:posOffset>-190499</wp:posOffset>
          </wp:positionV>
          <wp:extent cx="2087093" cy="5095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40224" l="12179" r="12339" t="41346"/>
                  <a:stretch>
                    <a:fillRect/>
                  </a:stretch>
                </pic:blipFill>
                <pic:spPr>
                  <a:xfrm>
                    <a:off x="0" y="0"/>
                    <a:ext cx="2087093" cy="5095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compliance@y.uno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itilliumWeb-regular.ttf"/><Relationship Id="rId2" Type="http://schemas.openxmlformats.org/officeDocument/2006/relationships/font" Target="fonts/TitilliumWeb-bold.ttf"/><Relationship Id="rId3" Type="http://schemas.openxmlformats.org/officeDocument/2006/relationships/font" Target="fonts/TitilliumWeb-italic.ttf"/><Relationship Id="rId4" Type="http://schemas.openxmlformats.org/officeDocument/2006/relationships/font" Target="fonts/TitilliumWeb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