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tillium Web" w:cs="Titillium Web" w:eastAsia="Titillium Web" w:hAnsi="Titillium Web"/>
          <w:b w:val="1"/>
          <w:sz w:val="20"/>
          <w:szCs w:val="20"/>
        </w:rPr>
      </w:pPr>
      <w:r w:rsidDel="00000000" w:rsidR="00000000" w:rsidRPr="00000000">
        <w:rPr>
          <w:rFonts w:ascii="Titillium Web" w:cs="Titillium Web" w:eastAsia="Titillium Web" w:hAnsi="Titillium Web"/>
          <w:b w:val="1"/>
          <w:sz w:val="20"/>
          <w:szCs w:val="20"/>
          <w:rtl w:val="0"/>
        </w:rPr>
        <w:t xml:space="preserve">COMPLIANCE &amp; SANCTIONS DECLARATION</w:t>
      </w:r>
    </w:p>
    <w:p w:rsidR="00000000" w:rsidDel="00000000" w:rsidP="00000000" w:rsidRDefault="00000000" w:rsidRPr="00000000" w14:paraId="00000002">
      <w:pPr>
        <w:jc w:val="both"/>
        <w:rPr>
          <w:rFonts w:ascii="Titillium Web" w:cs="Titillium Web" w:eastAsia="Titillium Web" w:hAnsi="Titillium Web"/>
          <w:sz w:val="20"/>
          <w:szCs w:val="20"/>
        </w:rPr>
      </w:pPr>
      <w:r w:rsidDel="00000000" w:rsidR="00000000" w:rsidRPr="00000000">
        <w:rPr>
          <w:rtl w:val="0"/>
        </w:rPr>
      </w:r>
    </w:p>
    <w:p w:rsidR="00000000" w:rsidDel="00000000" w:rsidP="00000000" w:rsidRDefault="00000000" w:rsidRPr="00000000" w14:paraId="00000003">
      <w:pPr>
        <w:jc w:val="both"/>
        <w:rPr>
          <w:rFonts w:ascii="Titillium Web" w:cs="Titillium Web" w:eastAsia="Titillium Web" w:hAnsi="Titillium Web"/>
          <w:sz w:val="20"/>
          <w:szCs w:val="20"/>
        </w:rPr>
      </w:pPr>
      <w:r w:rsidDel="00000000" w:rsidR="00000000" w:rsidRPr="00000000">
        <w:rPr>
          <w:rFonts w:ascii="Titillium Web" w:cs="Titillium Web" w:eastAsia="Titillium Web" w:hAnsi="Titillium Web"/>
          <w:sz w:val="20"/>
          <w:szCs w:val="20"/>
          <w:rtl w:val="0"/>
        </w:rPr>
        <w:t xml:space="preserve">This declaration is a material component of the Know Your Business (KYB) and Company Due Diligence (CDD) process required by Yuno's Global AML/CFT &amp; Sanctions Compliance Program. Yuno provides a Software-as-a-Service (SaaS) technology platform and does not hold, custody, or control client or end-user funds. Yuno's Program is designed to prevent the misuse of its technology services, anchored in robust Company Risk Management and universal, non-delegable Sanctions Compliance.</w:t>
      </w:r>
    </w:p>
    <w:p w:rsidR="00000000" w:rsidDel="00000000" w:rsidP="00000000" w:rsidRDefault="00000000" w:rsidRPr="00000000" w14:paraId="00000004">
      <w:pPr>
        <w:jc w:val="both"/>
        <w:rPr>
          <w:rFonts w:ascii="Titillium Web" w:cs="Titillium Web" w:eastAsia="Titillium Web" w:hAnsi="Titillium Web"/>
          <w:sz w:val="20"/>
          <w:szCs w:val="20"/>
        </w:rPr>
      </w:pPr>
      <w:r w:rsidDel="00000000" w:rsidR="00000000" w:rsidRPr="00000000">
        <w:rPr>
          <w:rtl w:val="0"/>
        </w:rPr>
      </w:r>
    </w:p>
    <w:p w:rsidR="00000000" w:rsidDel="00000000" w:rsidP="00000000" w:rsidRDefault="00000000" w:rsidRPr="00000000" w14:paraId="00000005">
      <w:pPr>
        <w:jc w:val="both"/>
        <w:rPr>
          <w:rFonts w:ascii="Titillium Web" w:cs="Titillium Web" w:eastAsia="Titillium Web" w:hAnsi="Titillium Web"/>
          <w:b w:val="1"/>
          <w:sz w:val="20"/>
          <w:szCs w:val="20"/>
        </w:rPr>
      </w:pPr>
      <w:r w:rsidDel="00000000" w:rsidR="00000000" w:rsidRPr="00000000">
        <w:rPr>
          <w:rFonts w:ascii="Titillium Web" w:cs="Titillium Web" w:eastAsia="Titillium Web" w:hAnsi="Titillium Web"/>
          <w:b w:val="1"/>
          <w:sz w:val="20"/>
          <w:szCs w:val="20"/>
          <w:rtl w:val="0"/>
        </w:rPr>
        <w:t xml:space="preserve">Declaration</w:t>
      </w:r>
    </w:p>
    <w:p w:rsidR="00000000" w:rsidDel="00000000" w:rsidP="00000000" w:rsidRDefault="00000000" w:rsidRPr="00000000" w14:paraId="00000006">
      <w:pPr>
        <w:jc w:val="both"/>
        <w:rPr>
          <w:rFonts w:ascii="Titillium Web" w:cs="Titillium Web" w:eastAsia="Titillium Web" w:hAnsi="Titillium Web"/>
          <w:sz w:val="20"/>
          <w:szCs w:val="20"/>
        </w:rPr>
      </w:pPr>
      <w:r w:rsidDel="00000000" w:rsidR="00000000" w:rsidRPr="00000000">
        <w:rPr>
          <w:rtl w:val="0"/>
        </w:rPr>
      </w:r>
    </w:p>
    <w:p w:rsidR="00000000" w:rsidDel="00000000" w:rsidP="00000000" w:rsidRDefault="00000000" w:rsidRPr="00000000" w14:paraId="00000007">
      <w:pPr>
        <w:jc w:val="both"/>
        <w:rPr>
          <w:rFonts w:ascii="Titillium Web" w:cs="Titillium Web" w:eastAsia="Titillium Web" w:hAnsi="Titillium Web"/>
          <w:sz w:val="20"/>
          <w:szCs w:val="20"/>
        </w:rPr>
      </w:pPr>
      <w:r w:rsidDel="00000000" w:rsidR="00000000" w:rsidRPr="00000000">
        <w:rPr>
          <w:rFonts w:ascii="Titillium Web" w:cs="Titillium Web" w:eastAsia="Titillium Web" w:hAnsi="Titillium Web"/>
          <w:sz w:val="20"/>
          <w:szCs w:val="20"/>
          <w:rtl w:val="0"/>
        </w:rPr>
        <w:t xml:space="preserve">I, Legal Representative of the previously identified company, hereby Certify: </w:t>
        <w:br w:type="textWrapping"/>
      </w:r>
    </w:p>
    <w:p w:rsidR="00000000" w:rsidDel="00000000" w:rsidP="00000000" w:rsidRDefault="00000000" w:rsidRPr="00000000" w14:paraId="00000008">
      <w:pPr>
        <w:numPr>
          <w:ilvl w:val="0"/>
          <w:numId w:val="1"/>
        </w:numPr>
        <w:ind w:left="720" w:hanging="360"/>
        <w:jc w:val="both"/>
        <w:rPr>
          <w:rFonts w:ascii="Titillium Web" w:cs="Titillium Web" w:eastAsia="Titillium Web" w:hAnsi="Titillium Web"/>
          <w:sz w:val="20"/>
          <w:szCs w:val="20"/>
        </w:rPr>
      </w:pPr>
      <w:r w:rsidDel="00000000" w:rsidR="00000000" w:rsidRPr="00000000">
        <w:rPr>
          <w:rFonts w:ascii="Titillium Web" w:cs="Titillium Web" w:eastAsia="Titillium Web" w:hAnsi="Titillium Web"/>
          <w:b w:val="1"/>
          <w:sz w:val="20"/>
          <w:szCs w:val="20"/>
          <w:rtl w:val="0"/>
        </w:rPr>
        <w:t xml:space="preserve">Lawful Business Operations:</w:t>
      </w:r>
      <w:r w:rsidDel="00000000" w:rsidR="00000000" w:rsidRPr="00000000">
        <w:rPr>
          <w:rFonts w:ascii="Titillium Web" w:cs="Titillium Web" w:eastAsia="Titillium Web" w:hAnsi="Titillium Web"/>
          <w:sz w:val="20"/>
          <w:szCs w:val="20"/>
          <w:rtl w:val="0"/>
        </w:rPr>
        <w:t xml:space="preserve"> The Company is a legally registered entity in good standing. All business activities are lawful in its operating jurisdictions, and all corporate funds are derived from legitimate sources.</w:t>
        <w:br w:type="textWrapping"/>
      </w:r>
    </w:p>
    <w:p w:rsidR="00000000" w:rsidDel="00000000" w:rsidP="00000000" w:rsidRDefault="00000000" w:rsidRPr="00000000" w14:paraId="00000009">
      <w:pPr>
        <w:numPr>
          <w:ilvl w:val="0"/>
          <w:numId w:val="1"/>
        </w:numPr>
        <w:ind w:left="720" w:hanging="360"/>
        <w:jc w:val="both"/>
        <w:rPr>
          <w:rFonts w:ascii="Titillium Web" w:cs="Titillium Web" w:eastAsia="Titillium Web" w:hAnsi="Titillium Web"/>
          <w:sz w:val="20"/>
          <w:szCs w:val="20"/>
        </w:rPr>
      </w:pPr>
      <w:r w:rsidDel="00000000" w:rsidR="00000000" w:rsidRPr="00000000">
        <w:rPr>
          <w:rFonts w:ascii="Titillium Web" w:cs="Titillium Web" w:eastAsia="Titillium Web" w:hAnsi="Titillium Web"/>
          <w:b w:val="1"/>
          <w:sz w:val="20"/>
          <w:szCs w:val="20"/>
          <w:rtl w:val="0"/>
        </w:rPr>
        <w:t xml:space="preserve">Company AML/CFT Compliance:</w:t>
      </w:r>
      <w:r w:rsidDel="00000000" w:rsidR="00000000" w:rsidRPr="00000000">
        <w:rPr>
          <w:rFonts w:ascii="Titillium Web" w:cs="Titillium Web" w:eastAsia="Titillium Web" w:hAnsi="Titillium Web"/>
          <w:sz w:val="20"/>
          <w:szCs w:val="20"/>
          <w:rtl w:val="0"/>
        </w:rPr>
        <w:t xml:space="preserve"> The Company maintains its own risk-based Anti-Money Laundering (AML) and Counter-Terrorist Financing (CFT) compliance program, proportionate to its risk and regulatory requirements, designed to prevent illicit activities.</w:t>
        <w:br w:type="textWrapping"/>
      </w:r>
    </w:p>
    <w:p w:rsidR="00000000" w:rsidDel="00000000" w:rsidP="00000000" w:rsidRDefault="00000000" w:rsidRPr="00000000" w14:paraId="0000000A">
      <w:pPr>
        <w:numPr>
          <w:ilvl w:val="0"/>
          <w:numId w:val="1"/>
        </w:numPr>
        <w:ind w:left="720" w:hanging="360"/>
        <w:jc w:val="both"/>
        <w:rPr>
          <w:rFonts w:ascii="Titillium Web" w:cs="Titillium Web" w:eastAsia="Titillium Web" w:hAnsi="Titillium Web"/>
          <w:sz w:val="20"/>
          <w:szCs w:val="20"/>
        </w:rPr>
      </w:pPr>
      <w:r w:rsidDel="00000000" w:rsidR="00000000" w:rsidRPr="00000000">
        <w:rPr>
          <w:rFonts w:ascii="Titillium Web" w:cs="Titillium Web" w:eastAsia="Titillium Web" w:hAnsi="Titillium Web"/>
          <w:b w:val="1"/>
          <w:sz w:val="20"/>
          <w:szCs w:val="20"/>
          <w:rtl w:val="0"/>
        </w:rPr>
        <w:t xml:space="preserve">Global Sanctions Compliance:</w:t>
      </w:r>
      <w:r w:rsidDel="00000000" w:rsidR="00000000" w:rsidRPr="00000000">
        <w:rPr>
          <w:rFonts w:ascii="Titillium Web" w:cs="Titillium Web" w:eastAsia="Titillium Web" w:hAnsi="Titillium Web"/>
          <w:sz w:val="20"/>
          <w:szCs w:val="20"/>
          <w:rtl w:val="0"/>
        </w:rPr>
        <w:t xml:space="preserve"> The Company, its parent companies, subsidiaries, Ultimate Beneficial Owners (UBOs), directors, and officers are not: (i) designated on any mandatory sanctions list (including OFAC, UN, EU, UK HMT, collectively "Sanctions Lists"); or (ii) 50% or more owned or controlled by any such designated person.</w:t>
        <w:br w:type="textWrapping"/>
      </w:r>
    </w:p>
    <w:p w:rsidR="00000000" w:rsidDel="00000000" w:rsidP="00000000" w:rsidRDefault="00000000" w:rsidRPr="00000000" w14:paraId="0000000B">
      <w:pPr>
        <w:numPr>
          <w:ilvl w:val="0"/>
          <w:numId w:val="1"/>
        </w:numPr>
        <w:ind w:left="720" w:hanging="360"/>
        <w:jc w:val="both"/>
        <w:rPr>
          <w:rFonts w:ascii="Titillium Web" w:cs="Titillium Web" w:eastAsia="Titillium Web" w:hAnsi="Titillium Web"/>
          <w:sz w:val="20"/>
          <w:szCs w:val="20"/>
        </w:rPr>
      </w:pPr>
      <w:r w:rsidDel="00000000" w:rsidR="00000000" w:rsidRPr="00000000">
        <w:rPr>
          <w:rFonts w:ascii="Titillium Web" w:cs="Titillium Web" w:eastAsia="Titillium Web" w:hAnsi="Titillium Web"/>
          <w:b w:val="1"/>
          <w:sz w:val="20"/>
          <w:szCs w:val="20"/>
          <w:rtl w:val="0"/>
        </w:rPr>
        <w:t xml:space="preserve">Non-Involvement in Illicit Activities:</w:t>
      </w:r>
      <w:r w:rsidDel="00000000" w:rsidR="00000000" w:rsidRPr="00000000">
        <w:rPr>
          <w:rFonts w:ascii="Titillium Web" w:cs="Titillium Web" w:eastAsia="Titillium Web" w:hAnsi="Titillium Web"/>
          <w:sz w:val="20"/>
          <w:szCs w:val="20"/>
          <w:rtl w:val="0"/>
        </w:rPr>
        <w:t xml:space="preserve"> Neither the Company nor its UBOs or key control persons have been investigated, charged, or convicted of any felony or crime related to financial misconduct, including money laundering, terrorist financing, fraud, or corruption.</w:t>
        <w:br w:type="textWrapping"/>
      </w:r>
    </w:p>
    <w:p w:rsidR="00000000" w:rsidDel="00000000" w:rsidP="00000000" w:rsidRDefault="00000000" w:rsidRPr="00000000" w14:paraId="0000000C">
      <w:pPr>
        <w:numPr>
          <w:ilvl w:val="0"/>
          <w:numId w:val="1"/>
        </w:numPr>
        <w:ind w:left="720" w:hanging="360"/>
        <w:jc w:val="both"/>
        <w:rPr>
          <w:rFonts w:ascii="Titillium Web" w:cs="Titillium Web" w:eastAsia="Titillium Web" w:hAnsi="Titillium Web"/>
          <w:sz w:val="20"/>
          <w:szCs w:val="20"/>
        </w:rPr>
      </w:pPr>
      <w:r w:rsidDel="00000000" w:rsidR="00000000" w:rsidRPr="00000000">
        <w:rPr>
          <w:rFonts w:ascii="Titillium Web" w:cs="Titillium Web" w:eastAsia="Titillium Web" w:hAnsi="Titillium Web"/>
          <w:b w:val="1"/>
          <w:sz w:val="20"/>
          <w:szCs w:val="20"/>
          <w:rtl w:val="0"/>
        </w:rPr>
        <w:t xml:space="preserve">Commitment to Transparency:</w:t>
      </w:r>
      <w:r w:rsidDel="00000000" w:rsidR="00000000" w:rsidRPr="00000000">
        <w:rPr>
          <w:rFonts w:ascii="Titillium Web" w:cs="Titillium Web" w:eastAsia="Titillium Web" w:hAnsi="Titillium Web"/>
          <w:sz w:val="20"/>
          <w:szCs w:val="20"/>
          <w:rtl w:val="0"/>
        </w:rPr>
        <w:t xml:space="preserve"> The Company agrees to cooperate fully with Yuno's Compliance department and provide any documentation required for KYB or ongoing due diligence, including information on UBOs or internal compliance procedures.</w:t>
      </w:r>
    </w:p>
    <w:p w:rsidR="00000000" w:rsidDel="00000000" w:rsidP="00000000" w:rsidRDefault="00000000" w:rsidRPr="00000000" w14:paraId="0000000D">
      <w:pPr>
        <w:ind w:left="720" w:firstLine="0"/>
        <w:jc w:val="both"/>
        <w:rPr>
          <w:rFonts w:ascii="Titillium Web" w:cs="Titillium Web" w:eastAsia="Titillium Web" w:hAnsi="Titillium Web"/>
          <w:sz w:val="20"/>
          <w:szCs w:val="20"/>
        </w:rPr>
      </w:pPr>
      <w:r w:rsidDel="00000000" w:rsidR="00000000" w:rsidRPr="00000000">
        <w:rPr>
          <w:rtl w:val="0"/>
        </w:rPr>
      </w:r>
    </w:p>
    <w:p w:rsidR="00000000" w:rsidDel="00000000" w:rsidP="00000000" w:rsidRDefault="00000000" w:rsidRPr="00000000" w14:paraId="0000000E">
      <w:pPr>
        <w:jc w:val="both"/>
        <w:rPr>
          <w:rFonts w:ascii="Titillium Web" w:cs="Titillium Web" w:eastAsia="Titillium Web" w:hAnsi="Titillium Web"/>
          <w:b w:val="1"/>
          <w:sz w:val="20"/>
          <w:szCs w:val="20"/>
        </w:rPr>
      </w:pPr>
      <w:r w:rsidDel="00000000" w:rsidR="00000000" w:rsidRPr="00000000">
        <w:rPr>
          <w:rFonts w:ascii="Titillium Web" w:cs="Titillium Web" w:eastAsia="Titillium Web" w:hAnsi="Titillium Web"/>
          <w:b w:val="1"/>
          <w:sz w:val="20"/>
          <w:szCs w:val="20"/>
          <w:rtl w:val="0"/>
        </w:rPr>
        <w:t xml:space="preserve">Authorized Channels</w:t>
      </w:r>
    </w:p>
    <w:p w:rsidR="00000000" w:rsidDel="00000000" w:rsidP="00000000" w:rsidRDefault="00000000" w:rsidRPr="00000000" w14:paraId="0000000F">
      <w:pPr>
        <w:jc w:val="both"/>
        <w:rPr>
          <w:rFonts w:ascii="Titillium Web" w:cs="Titillium Web" w:eastAsia="Titillium Web" w:hAnsi="Titillium Web"/>
          <w:sz w:val="20"/>
          <w:szCs w:val="20"/>
        </w:rPr>
      </w:pPr>
      <w:r w:rsidDel="00000000" w:rsidR="00000000" w:rsidRPr="00000000">
        <w:rPr>
          <w:rtl w:val="0"/>
        </w:rPr>
      </w:r>
    </w:p>
    <w:p w:rsidR="00000000" w:rsidDel="00000000" w:rsidP="00000000" w:rsidRDefault="00000000" w:rsidRPr="00000000" w14:paraId="00000010">
      <w:pPr>
        <w:jc w:val="both"/>
        <w:rPr>
          <w:rFonts w:ascii="Titillium Web" w:cs="Titillium Web" w:eastAsia="Titillium Web" w:hAnsi="Titillium Web"/>
          <w:sz w:val="20"/>
          <w:szCs w:val="20"/>
        </w:rPr>
      </w:pPr>
      <w:r w:rsidDel="00000000" w:rsidR="00000000" w:rsidRPr="00000000">
        <w:rPr>
          <w:rFonts w:ascii="Titillium Web" w:cs="Titillium Web" w:eastAsia="Titillium Web" w:hAnsi="Titillium Web"/>
          <w:sz w:val="20"/>
          <w:szCs w:val="20"/>
          <w:rtl w:val="0"/>
        </w:rPr>
        <w:t xml:space="preserve">The following communication channels are authorized for Compliance-related matters:</w:t>
      </w:r>
    </w:p>
    <w:tbl>
      <w:tblPr>
        <w:tblStyle w:val="Table1"/>
        <w:tblW w:w="9315.0" w:type="dxa"/>
        <w:jc w:val="left"/>
        <w:tblLayout w:type="fixed"/>
        <w:tblLook w:val="0600"/>
      </w:tblPr>
      <w:tblGrid>
        <w:gridCol w:w="4650"/>
        <w:gridCol w:w="4665"/>
        <w:tblGridChange w:id="0">
          <w:tblGrid>
            <w:gridCol w:w="4650"/>
            <w:gridCol w:w="4665"/>
          </w:tblGrid>
        </w:tblGridChange>
      </w:tblGrid>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jc w:val="both"/>
              <w:rPr>
                <w:rFonts w:ascii="Titillium Web" w:cs="Titillium Web" w:eastAsia="Titillium Web" w:hAnsi="Titillium Web"/>
                <w:b w:val="1"/>
                <w:color w:val="ffffff"/>
                <w:sz w:val="20"/>
                <w:szCs w:val="20"/>
              </w:rPr>
            </w:pPr>
            <w:r w:rsidDel="00000000" w:rsidR="00000000" w:rsidRPr="00000000">
              <w:rPr>
                <w:rFonts w:ascii="Titillium Web" w:cs="Titillium Web" w:eastAsia="Titillium Web" w:hAnsi="Titillium Web"/>
                <w:b w:val="1"/>
                <w:color w:val="ffffff"/>
                <w:sz w:val="20"/>
                <w:szCs w:val="20"/>
                <w:rtl w:val="0"/>
              </w:rPr>
              <w:t xml:space="preserve">For the Company:</w:t>
            </w:r>
          </w:p>
        </w:tc>
        <w:tc>
          <w:tcPr>
            <w:tcBorders>
              <w:top w:color="000000" w:space="0" w:sz="6" w:val="single"/>
              <w:left w:color="000000" w:space="0" w:sz="6" w:val="single"/>
              <w:bottom w:color="000000" w:space="0" w:sz="6" w:val="single"/>
              <w:right w:color="000000" w:space="0" w:sz="6"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jc w:val="both"/>
              <w:rPr>
                <w:rFonts w:ascii="Titillium Web" w:cs="Titillium Web" w:eastAsia="Titillium Web" w:hAnsi="Titillium Web"/>
                <w:b w:val="1"/>
                <w:color w:val="ffffff"/>
                <w:sz w:val="20"/>
                <w:szCs w:val="20"/>
              </w:rPr>
            </w:pPr>
            <w:r w:rsidDel="00000000" w:rsidR="00000000" w:rsidRPr="00000000">
              <w:rPr>
                <w:rFonts w:ascii="Titillium Web" w:cs="Titillium Web" w:eastAsia="Titillium Web" w:hAnsi="Titillium Web"/>
                <w:b w:val="1"/>
                <w:color w:val="ffffff"/>
                <w:sz w:val="20"/>
                <w:szCs w:val="20"/>
                <w:rtl w:val="0"/>
              </w:rPr>
              <w:t xml:space="preserve">For Yuno:</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3">
            <w:pPr>
              <w:spacing w:line="240" w:lineRule="auto"/>
              <w:jc w:val="both"/>
              <w:rPr>
                <w:rFonts w:ascii="Titillium Web" w:cs="Titillium Web" w:eastAsia="Titillium Web" w:hAnsi="Titillium Web"/>
                <w:sz w:val="20"/>
                <w:szCs w:val="20"/>
              </w:rPr>
            </w:pPr>
            <w:r w:rsidDel="00000000" w:rsidR="00000000" w:rsidRPr="00000000">
              <w:rPr>
                <w:rFonts w:ascii="Titillium Web" w:cs="Titillium Web" w:eastAsia="Titillium Web" w:hAnsi="Titillium Web"/>
                <w:sz w:val="20"/>
                <w:szCs w:val="20"/>
                <w:rtl w:val="0"/>
              </w:rPr>
              <w:t xml:space="preserve">Name: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4">
            <w:pPr>
              <w:spacing w:line="240" w:lineRule="auto"/>
              <w:jc w:val="both"/>
              <w:rPr>
                <w:rFonts w:ascii="Titillium Web" w:cs="Titillium Web" w:eastAsia="Titillium Web" w:hAnsi="Titillium Web"/>
                <w:sz w:val="20"/>
                <w:szCs w:val="20"/>
              </w:rPr>
            </w:pPr>
            <w:r w:rsidDel="00000000" w:rsidR="00000000" w:rsidRPr="00000000">
              <w:rPr>
                <w:rFonts w:ascii="Titillium Web" w:cs="Titillium Web" w:eastAsia="Titillium Web" w:hAnsi="Titillium Web"/>
                <w:sz w:val="20"/>
                <w:szCs w:val="20"/>
                <w:rtl w:val="0"/>
              </w:rPr>
              <w:t xml:space="preserve">Name: Yuno Compliance</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5">
            <w:pPr>
              <w:spacing w:line="240" w:lineRule="auto"/>
              <w:jc w:val="both"/>
              <w:rPr>
                <w:rFonts w:ascii="Titillium Web" w:cs="Titillium Web" w:eastAsia="Titillium Web" w:hAnsi="Titillium Web"/>
                <w:sz w:val="20"/>
                <w:szCs w:val="20"/>
              </w:rPr>
            </w:pPr>
            <w:r w:rsidDel="00000000" w:rsidR="00000000" w:rsidRPr="00000000">
              <w:rPr>
                <w:rFonts w:ascii="Titillium Web" w:cs="Titillium Web" w:eastAsia="Titillium Web" w:hAnsi="Titillium Web"/>
                <w:sz w:val="20"/>
                <w:szCs w:val="20"/>
                <w:rtl w:val="0"/>
              </w:rPr>
              <w:t xml:space="preserve">Position: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6">
            <w:pPr>
              <w:spacing w:line="240" w:lineRule="auto"/>
              <w:jc w:val="both"/>
              <w:rPr>
                <w:rFonts w:ascii="Titillium Web" w:cs="Titillium Web" w:eastAsia="Titillium Web" w:hAnsi="Titillium Web"/>
                <w:sz w:val="20"/>
                <w:szCs w:val="20"/>
              </w:rPr>
            </w:pPr>
            <w:r w:rsidDel="00000000" w:rsidR="00000000" w:rsidRPr="00000000">
              <w:rPr>
                <w:rFonts w:ascii="Titillium Web" w:cs="Titillium Web" w:eastAsia="Titillium Web" w:hAnsi="Titillium Web"/>
                <w:sz w:val="20"/>
                <w:szCs w:val="20"/>
                <w:rtl w:val="0"/>
              </w:rPr>
              <w:t xml:space="preserve">Position: Compliance Officer</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7">
            <w:pPr>
              <w:spacing w:line="240" w:lineRule="auto"/>
              <w:jc w:val="both"/>
              <w:rPr>
                <w:rFonts w:ascii="Titillium Web" w:cs="Titillium Web" w:eastAsia="Titillium Web" w:hAnsi="Titillium Web"/>
                <w:sz w:val="20"/>
                <w:szCs w:val="20"/>
              </w:rPr>
            </w:pPr>
            <w:r w:rsidDel="00000000" w:rsidR="00000000" w:rsidRPr="00000000">
              <w:rPr>
                <w:rFonts w:ascii="Titillium Web" w:cs="Titillium Web" w:eastAsia="Titillium Web" w:hAnsi="Titillium Web"/>
                <w:sz w:val="20"/>
                <w:szCs w:val="20"/>
                <w:rtl w:val="0"/>
              </w:rPr>
              <w:t xml:space="preserve">Email:</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8">
            <w:pPr>
              <w:spacing w:line="240" w:lineRule="auto"/>
              <w:jc w:val="both"/>
              <w:rPr>
                <w:rFonts w:ascii="Titillium Web" w:cs="Titillium Web" w:eastAsia="Titillium Web" w:hAnsi="Titillium Web"/>
                <w:sz w:val="20"/>
                <w:szCs w:val="20"/>
              </w:rPr>
            </w:pPr>
            <w:r w:rsidDel="00000000" w:rsidR="00000000" w:rsidRPr="00000000">
              <w:rPr>
                <w:rFonts w:ascii="Titillium Web" w:cs="Titillium Web" w:eastAsia="Titillium Web" w:hAnsi="Titillium Web"/>
                <w:sz w:val="20"/>
                <w:szCs w:val="20"/>
                <w:rtl w:val="0"/>
              </w:rPr>
              <w:t xml:space="preserve">Email: compliance@y.uno</w:t>
            </w:r>
          </w:p>
        </w:tc>
      </w:tr>
    </w:tbl>
    <w:p w:rsidR="00000000" w:rsidDel="00000000" w:rsidP="00000000" w:rsidRDefault="00000000" w:rsidRPr="00000000" w14:paraId="00000019">
      <w:pPr>
        <w:jc w:val="both"/>
        <w:rPr>
          <w:rFonts w:ascii="Titillium Web" w:cs="Titillium Web" w:eastAsia="Titillium Web" w:hAnsi="Titillium Web"/>
          <w:sz w:val="20"/>
          <w:szCs w:val="20"/>
        </w:rPr>
      </w:pPr>
      <w:r w:rsidDel="00000000" w:rsidR="00000000" w:rsidRPr="00000000">
        <w:rPr>
          <w:rtl w:val="0"/>
        </w:rPr>
      </w:r>
    </w:p>
    <w:p w:rsidR="00000000" w:rsidDel="00000000" w:rsidP="00000000" w:rsidRDefault="00000000" w:rsidRPr="00000000" w14:paraId="0000001A">
      <w:pPr>
        <w:jc w:val="both"/>
        <w:rPr>
          <w:rFonts w:ascii="Titillium Web" w:cs="Titillium Web" w:eastAsia="Titillium Web" w:hAnsi="Titillium Web"/>
          <w:b w:val="1"/>
          <w:sz w:val="20"/>
          <w:szCs w:val="20"/>
        </w:rPr>
      </w:pPr>
      <w:r w:rsidDel="00000000" w:rsidR="00000000" w:rsidRPr="00000000">
        <w:rPr>
          <w:rFonts w:ascii="Titillium Web" w:cs="Titillium Web" w:eastAsia="Titillium Web" w:hAnsi="Titillium Web"/>
          <w:b w:val="1"/>
          <w:sz w:val="20"/>
          <w:szCs w:val="20"/>
          <w:rtl w:val="0"/>
        </w:rPr>
        <w:t xml:space="preserve">Authorization</w:t>
      </w:r>
    </w:p>
    <w:p w:rsidR="00000000" w:rsidDel="00000000" w:rsidP="00000000" w:rsidRDefault="00000000" w:rsidRPr="00000000" w14:paraId="0000001B">
      <w:pPr>
        <w:jc w:val="both"/>
        <w:rPr>
          <w:rFonts w:ascii="Titillium Web" w:cs="Titillium Web" w:eastAsia="Titillium Web" w:hAnsi="Titillium Web"/>
          <w:b w:val="1"/>
          <w:sz w:val="20"/>
          <w:szCs w:val="20"/>
        </w:rPr>
      </w:pPr>
      <w:r w:rsidDel="00000000" w:rsidR="00000000" w:rsidRPr="00000000">
        <w:rPr>
          <w:rtl w:val="0"/>
        </w:rPr>
      </w:r>
    </w:p>
    <w:p w:rsidR="00000000" w:rsidDel="00000000" w:rsidP="00000000" w:rsidRDefault="00000000" w:rsidRPr="00000000" w14:paraId="0000001C">
      <w:pPr>
        <w:jc w:val="both"/>
        <w:rPr>
          <w:rFonts w:ascii="Titillium Web" w:cs="Titillium Web" w:eastAsia="Titillium Web" w:hAnsi="Titillium Web"/>
          <w:sz w:val="20"/>
          <w:szCs w:val="20"/>
        </w:rPr>
      </w:pPr>
      <w:r w:rsidDel="00000000" w:rsidR="00000000" w:rsidRPr="00000000">
        <w:rPr>
          <w:rFonts w:ascii="Titillium Web" w:cs="Titillium Web" w:eastAsia="Titillium Web" w:hAnsi="Titillium Web"/>
          <w:sz w:val="20"/>
          <w:szCs w:val="20"/>
          <w:rtl w:val="0"/>
        </w:rPr>
        <w:t xml:space="preserve">By signing below, I affirm that all information provided in this declaration is accurate, complete, and current. I understand that any false statements, omissions, or failure to cooperate with Yuno's KYB/CDD requests may result in immediate rejection or termination of the business relationship.</w:t>
      </w:r>
    </w:p>
    <w:p w:rsidR="00000000" w:rsidDel="00000000" w:rsidP="00000000" w:rsidRDefault="00000000" w:rsidRPr="00000000" w14:paraId="0000001D">
      <w:pPr>
        <w:jc w:val="both"/>
        <w:rPr>
          <w:rFonts w:ascii="Titillium Web" w:cs="Titillium Web" w:eastAsia="Titillium Web" w:hAnsi="Titillium Web"/>
          <w:sz w:val="20"/>
          <w:szCs w:val="20"/>
        </w:rPr>
      </w:pPr>
      <w:r w:rsidDel="00000000" w:rsidR="00000000" w:rsidRPr="00000000">
        <w:rPr>
          <w:rtl w:val="0"/>
        </w:rPr>
      </w:r>
    </w:p>
    <w:p w:rsidR="00000000" w:rsidDel="00000000" w:rsidP="00000000" w:rsidRDefault="00000000" w:rsidRPr="00000000" w14:paraId="0000001E">
      <w:pPr>
        <w:jc w:val="both"/>
        <w:rPr>
          <w:rFonts w:ascii="Titillium Web" w:cs="Titillium Web" w:eastAsia="Titillium Web" w:hAnsi="Titillium Web"/>
          <w:sz w:val="20"/>
          <w:szCs w:val="20"/>
        </w:rPr>
      </w:pPr>
      <w:r w:rsidDel="00000000" w:rsidR="00000000" w:rsidRPr="00000000">
        <w:rPr>
          <w:rtl w:val="0"/>
        </w:rPr>
      </w:r>
    </w:p>
    <w:p w:rsidR="00000000" w:rsidDel="00000000" w:rsidP="00000000" w:rsidRDefault="00000000" w:rsidRPr="00000000" w14:paraId="0000001F">
      <w:pPr>
        <w:jc w:val="both"/>
        <w:rPr>
          <w:rFonts w:ascii="Titillium Web" w:cs="Titillium Web" w:eastAsia="Titillium Web" w:hAnsi="Titillium Web"/>
          <w:sz w:val="20"/>
          <w:szCs w:val="20"/>
        </w:rPr>
      </w:pPr>
      <w:r w:rsidDel="00000000" w:rsidR="00000000" w:rsidRPr="00000000">
        <w:rPr>
          <w:rFonts w:ascii="Titillium Web" w:cs="Titillium Web" w:eastAsia="Titillium Web" w:hAnsi="Titillium Web"/>
          <w:sz w:val="20"/>
          <w:szCs w:val="20"/>
          <w:rtl w:val="0"/>
        </w:rPr>
        <w:t xml:space="preserve">___________________________</w:t>
      </w:r>
    </w:p>
    <w:p w:rsidR="00000000" w:rsidDel="00000000" w:rsidP="00000000" w:rsidRDefault="00000000" w:rsidRPr="00000000" w14:paraId="00000020">
      <w:pPr>
        <w:jc w:val="both"/>
        <w:rPr>
          <w:rFonts w:ascii="Titillium Web" w:cs="Titillium Web" w:eastAsia="Titillium Web" w:hAnsi="Titillium Web"/>
          <w:sz w:val="20"/>
          <w:szCs w:val="20"/>
        </w:rPr>
      </w:pPr>
      <w:r w:rsidDel="00000000" w:rsidR="00000000" w:rsidRPr="00000000">
        <w:rPr>
          <w:rFonts w:ascii="Titillium Web" w:cs="Titillium Web" w:eastAsia="Titillium Web" w:hAnsi="Titillium Web"/>
          <w:sz w:val="20"/>
          <w:szCs w:val="20"/>
          <w:rtl w:val="0"/>
        </w:rPr>
        <w:t xml:space="preserve">Full Name:</w:t>
      </w:r>
    </w:p>
    <w:p w:rsidR="00000000" w:rsidDel="00000000" w:rsidP="00000000" w:rsidRDefault="00000000" w:rsidRPr="00000000" w14:paraId="00000021">
      <w:pPr>
        <w:jc w:val="both"/>
        <w:rPr>
          <w:rFonts w:ascii="Titillium Web" w:cs="Titillium Web" w:eastAsia="Titillium Web" w:hAnsi="Titillium Web"/>
          <w:sz w:val="20"/>
          <w:szCs w:val="20"/>
        </w:rPr>
      </w:pPr>
      <w:r w:rsidDel="00000000" w:rsidR="00000000" w:rsidRPr="00000000">
        <w:rPr>
          <w:rFonts w:ascii="Titillium Web" w:cs="Titillium Web" w:eastAsia="Titillium Web" w:hAnsi="Titillium Web"/>
          <w:sz w:val="20"/>
          <w:szCs w:val="20"/>
          <w:rtl w:val="0"/>
        </w:rPr>
        <w:t xml:space="preserve">Position:</w:t>
      </w:r>
    </w:p>
    <w:p w:rsidR="00000000" w:rsidDel="00000000" w:rsidP="00000000" w:rsidRDefault="00000000" w:rsidRPr="00000000" w14:paraId="00000022">
      <w:pPr>
        <w:jc w:val="both"/>
        <w:rPr>
          <w:rFonts w:ascii="Titillium Web" w:cs="Titillium Web" w:eastAsia="Titillium Web" w:hAnsi="Titillium Web"/>
          <w:sz w:val="20"/>
          <w:szCs w:val="20"/>
        </w:rPr>
      </w:pPr>
      <w:r w:rsidDel="00000000" w:rsidR="00000000" w:rsidRPr="00000000">
        <w:rPr>
          <w:rFonts w:ascii="Titillium Web" w:cs="Titillium Web" w:eastAsia="Titillium Web" w:hAnsi="Titillium Web"/>
          <w:sz w:val="20"/>
          <w:szCs w:val="20"/>
          <w:rtl w:val="0"/>
        </w:rPr>
        <w:t xml:space="preserve">Date:</w:t>
      </w:r>
    </w:p>
    <w:p w:rsidR="00000000" w:rsidDel="00000000" w:rsidP="00000000" w:rsidRDefault="00000000" w:rsidRPr="00000000" w14:paraId="00000023">
      <w:pPr>
        <w:jc w:val="both"/>
        <w:rPr>
          <w:rFonts w:ascii="Titillium Web" w:cs="Titillium Web" w:eastAsia="Titillium Web" w:hAnsi="Titillium Web"/>
          <w:sz w:val="20"/>
          <w:szCs w:val="20"/>
        </w:rPr>
      </w:pPr>
      <w:r w:rsidDel="00000000" w:rsidR="00000000" w:rsidRPr="00000000">
        <w:rPr>
          <w:rFonts w:ascii="Titillium Web" w:cs="Titillium Web" w:eastAsia="Titillium Web" w:hAnsi="Titillium Web"/>
          <w:sz w:val="20"/>
          <w:szCs w:val="20"/>
          <w:rtl w:val="0"/>
        </w:rPr>
        <w:t xml:space="preserve">Company Business Name:</w:t>
      </w:r>
    </w:p>
    <w:p w:rsidR="00000000" w:rsidDel="00000000" w:rsidP="00000000" w:rsidRDefault="00000000" w:rsidRPr="00000000" w14:paraId="00000024">
      <w:pPr>
        <w:jc w:val="both"/>
        <w:rPr>
          <w:rFonts w:ascii="Titillium Web" w:cs="Titillium Web" w:eastAsia="Titillium Web" w:hAnsi="Titillium Web"/>
          <w:sz w:val="20"/>
          <w:szCs w:val="20"/>
        </w:rPr>
      </w:pPr>
      <w:r w:rsidDel="00000000" w:rsidR="00000000" w:rsidRPr="00000000">
        <w:rPr>
          <w:rFonts w:ascii="Titillium Web" w:cs="Titillium Web" w:eastAsia="Titillium Web" w:hAnsi="Titillium Web"/>
          <w:sz w:val="20"/>
          <w:szCs w:val="20"/>
          <w:rtl w:val="0"/>
        </w:rPr>
        <w:t xml:space="preserve">TAX ID / Registration Number:</w:t>
      </w:r>
    </w:p>
    <w:p w:rsidR="00000000" w:rsidDel="00000000" w:rsidP="00000000" w:rsidRDefault="00000000" w:rsidRPr="00000000" w14:paraId="00000025">
      <w:pPr>
        <w:jc w:val="both"/>
        <w:rPr>
          <w:rFonts w:ascii="Titillium Web" w:cs="Titillium Web" w:eastAsia="Titillium Web" w:hAnsi="Titillium Web"/>
          <w:sz w:val="20"/>
          <w:szCs w:val="20"/>
        </w:rPr>
      </w:pPr>
      <w:r w:rsidDel="00000000" w:rsidR="00000000" w:rsidRPr="00000000">
        <w:rPr>
          <w:rFonts w:ascii="Titillium Web" w:cs="Titillium Web" w:eastAsia="Titillium Web" w:hAnsi="Titillium Web"/>
          <w:sz w:val="20"/>
          <w:szCs w:val="20"/>
          <w:rtl w:val="0"/>
        </w:rPr>
        <w:t xml:space="preserve">Country of Incorporation:</w:t>
      </w:r>
    </w:p>
    <w:p w:rsidR="00000000" w:rsidDel="00000000" w:rsidP="00000000" w:rsidRDefault="00000000" w:rsidRPr="00000000" w14:paraId="00000026">
      <w:pPr>
        <w:jc w:val="both"/>
        <w:rPr>
          <w:rFonts w:ascii="Titillium Web" w:cs="Titillium Web" w:eastAsia="Titillium Web" w:hAnsi="Titillium Web"/>
          <w:sz w:val="20"/>
          <w:szCs w:val="2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tillium Web">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4267200</wp:posOffset>
          </wp:positionH>
          <wp:positionV relativeFrom="paragraph">
            <wp:posOffset>-190499</wp:posOffset>
          </wp:positionV>
          <wp:extent cx="2087093" cy="509588"/>
          <wp:effectExtent b="0" l="0" r="0" t="0"/>
          <wp:wrapNone/>
          <wp:docPr id="1" name="image1.png"/>
          <a:graphic>
            <a:graphicData uri="http://schemas.openxmlformats.org/drawingml/2006/picture">
              <pic:pic>
                <pic:nvPicPr>
                  <pic:cNvPr id="0" name="image1.png"/>
                  <pic:cNvPicPr preferRelativeResize="0"/>
                </pic:nvPicPr>
                <pic:blipFill>
                  <a:blip r:embed="rId1"/>
                  <a:srcRect b="40224" l="12179" r="12339" t="41346"/>
                  <a:stretch>
                    <a:fillRect/>
                  </a:stretch>
                </pic:blipFill>
                <pic:spPr>
                  <a:xfrm>
                    <a:off x="0" y="0"/>
                    <a:ext cx="2087093" cy="509588"/>
                  </a:xfrm>
                  <a:prstGeom prst="rect"/>
                  <a:ln/>
                </pic:spPr>
              </pic:pic>
            </a:graphicData>
          </a:graphic>
        </wp:anchor>
      </w:drawing>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itilliumWeb-regular.ttf"/><Relationship Id="rId2" Type="http://schemas.openxmlformats.org/officeDocument/2006/relationships/font" Target="fonts/TitilliumWeb-bold.ttf"/><Relationship Id="rId3" Type="http://schemas.openxmlformats.org/officeDocument/2006/relationships/font" Target="fonts/TitilliumWeb-italic.ttf"/><Relationship Id="rId4" Type="http://schemas.openxmlformats.org/officeDocument/2006/relationships/font" Target="fonts/TitilliumWeb-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